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b w:val="1"/>
          <w:sz w:val="48"/>
          <w:szCs w:val="48"/>
        </w:rPr>
      </w:pPr>
      <w:bookmarkStart w:colFirst="0" w:colLast="0" w:name="_kb77xv44jlmz" w:id="0"/>
      <w:bookmarkEnd w:id="0"/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Plan Local de Desarrollo Profesional Docente, </w:t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b w:val="1"/>
          <w:sz w:val="40"/>
          <w:szCs w:val="40"/>
          <w:shd w:fill="fedd00" w:val="clear"/>
        </w:rPr>
      </w:pPr>
      <w:bookmarkStart w:colFirst="0" w:colLast="0" w:name="_v8khfz1jr3il" w:id="1"/>
      <w:bookmarkEnd w:id="1"/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Matrices para su elaboración, con foco en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shd w:fill="fedd00" w:val="clear"/>
          <w:rtl w:val="0"/>
        </w:rPr>
        <w:t xml:space="preserve">EMTP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shd w:fill="fedd00" w:val="clear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bookmarkStart w:colFirst="0" w:colLast="0" w:name="_kb77xv44jlm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bookmarkStart w:colFirst="0" w:colLast="0" w:name="_s2ku14vjw6b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m28695p5ency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51a4ab"/>
          <w:sz w:val="28"/>
          <w:szCs w:val="28"/>
          <w:rtl w:val="0"/>
        </w:rPr>
        <w:t xml:space="preserve">1. Primer componente: Análisis de las necesidades de aprendizaje de los estudiantes TP 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6">
      <w:pPr>
        <w:rPr/>
      </w:pPr>
      <w:bookmarkStart w:colFirst="0" w:colLast="0" w:name="_7te38s920r4i" w:id="4"/>
      <w:bookmarkEnd w:id="4"/>
      <w:r w:rsidDel="00000000" w:rsidR="00000000" w:rsidRPr="00000000">
        <w:rPr>
          <w:rtl w:val="0"/>
        </w:rPr>
        <w:tab/>
        <w:tab/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edd00" w:space="0" w:sz="8" w:val="single"/>
              <w:bottom w:color="ffffff" w:space="0" w:sz="8" w:val="single"/>
              <w:right w:color="ffffff" w:space="0" w:sz="8" w:val="single"/>
            </w:tcBorders>
            <w:shd w:fill="fedd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a. Analizar los resultados de aprendizaje de los estudiantes tanto en evaluaciones estandarizadas externas como en evaluaciones internas y/o de nivel de la formación general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51a4a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b. Analizar los resultados en el desempeño de los estudiantes en las asignaturas propiamente técnicas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edd00" w:space="0" w:sz="8" w:val="single"/>
            </w:tcBorders>
            <w:shd w:fill="fedd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c. Analizar los resultados en el desempeño de la práctica profesional de los estudiantes (tanto aspectos técnicos como competencias blandas)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d9d9d9" w:space="0" w:sz="8" w:val="single"/>
              <w:bottom w:color="ffffff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9d9d9" w:space="0" w:sz="8" w:val="single"/>
              <w:bottom w:color="ffffff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9d9d9" w:space="0" w:sz="8" w:val="single"/>
              <w:bottom w:color="ffffff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edd00" w:space="0" w:sz="8" w:val="single"/>
              <w:bottom w:color="d9d9d9" w:space="0" w:sz="8" w:val="single"/>
              <w:right w:color="ffffff" w:space="0" w:sz="8" w:val="single"/>
            </w:tcBorders>
            <w:shd w:fill="fedd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a. Identificar fortalezas y oportunidades de mejora tras el análisis realizado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51a4a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b. Identificar fortalezas y oportunidades de mejora tras el análisis realizado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edd00" w:space="0" w:sz="8" w:val="single"/>
            </w:tcBorders>
            <w:shd w:fill="fedd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c. Identificar fortalezas y oportunidades de mejora tras el análisis realizado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bookmarkStart w:colFirst="0" w:colLast="0" w:name="_xc9lzcj11skg" w:id="5"/>
      <w:bookmarkEnd w:id="5"/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8">
      <w:pPr>
        <w:rPr/>
      </w:pPr>
      <w:bookmarkStart w:colFirst="0" w:colLast="0" w:name="_1v0sio444iaz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color w:val="51a4ab"/>
          <w:sz w:val="28"/>
          <w:szCs w:val="28"/>
        </w:rPr>
      </w:pPr>
      <w:bookmarkStart w:colFirst="0" w:colLast="0" w:name="_m28695p5ency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color w:val="51a4ab"/>
          <w:sz w:val="28"/>
          <w:szCs w:val="28"/>
        </w:rPr>
      </w:pPr>
      <w:bookmarkStart w:colFirst="0" w:colLast="0" w:name="_4zfvosum49t2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bookmarkStart w:colFirst="0" w:colLast="0" w:name="_5ltt6dr2av3w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51a4ab"/>
          <w:sz w:val="28"/>
          <w:szCs w:val="28"/>
          <w:rtl w:val="0"/>
        </w:rPr>
        <w:t xml:space="preserve">2. Segundo componente: Análisis de las capacidades docentes TP 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C">
      <w:pPr>
        <w:rPr/>
      </w:pPr>
      <w:bookmarkStart w:colFirst="0" w:colLast="0" w:name="_7te38s920r4i" w:id="4"/>
      <w:bookmarkEnd w:id="4"/>
      <w:r w:rsidDel="00000000" w:rsidR="00000000" w:rsidRPr="00000000">
        <w:rPr>
          <w:rtl w:val="0"/>
        </w:rPr>
        <w:tab/>
        <w:tab/>
      </w:r>
    </w:p>
    <w:tbl>
      <w:tblPr>
        <w:tblStyle w:val="Table2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edd00" w:space="0" w:sz="8" w:val="single"/>
              <w:bottom w:color="ffffff" w:space="0" w:sz="8" w:val="single"/>
              <w:right w:color="ffffff" w:space="0" w:sz="8" w:val="single"/>
            </w:tcBorders>
            <w:shd w:fill="fedd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a. Analizar los resultados disponibles respecto al acompañamiento de los docentes en el Liceo TP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51a4a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c. Analizar los resultados disponibles en relación a la trayectoria educativa y laboral de los estudiantes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edd00" w:space="0" w:sz="8" w:val="single"/>
            </w:tcBorders>
            <w:shd w:fill="fedd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c. Analizar los resultados disponibles en relación a la trayectoria educativa y laboral de los estudiantes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d9d9d9" w:space="0" w:sz="8" w:val="single"/>
              <w:bottom w:color="ffffff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9d9d9" w:space="0" w:sz="8" w:val="single"/>
              <w:bottom w:color="ffffff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9d9d9" w:space="0" w:sz="8" w:val="single"/>
              <w:bottom w:color="ffffff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edd00" w:space="0" w:sz="8" w:val="single"/>
              <w:bottom w:color="d9d9d9" w:space="0" w:sz="8" w:val="single"/>
              <w:right w:color="ffffff" w:space="0" w:sz="8" w:val="single"/>
            </w:tcBorders>
            <w:shd w:fill="fedd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a. Identificar fortalezas y oportunidades de mejora tras el análisis realizado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51a4a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a. Identificar fortalezas y oportunidades de mejora tras el análisis realizado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edd00" w:space="0" w:sz="8" w:val="single"/>
            </w:tcBorders>
            <w:shd w:fill="fedd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a. Identificar fortalezas y oportunidades de mejora tras el análisis realizado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bookmarkStart w:colFirst="0" w:colLast="0" w:name="_xc9lzcj11skg" w:id="5"/>
      <w:bookmarkEnd w:id="5"/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3">
      <w:pPr>
        <w:rPr/>
      </w:pPr>
      <w:bookmarkStart w:colFirst="0" w:colLast="0" w:name="_6f6lt7aeg6eh" w:id="9"/>
      <w:bookmarkEnd w:id="9"/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54">
      <w:pPr>
        <w:rPr/>
      </w:pPr>
      <w:bookmarkStart w:colFirst="0" w:colLast="0" w:name="_1cb8b5rr4ix3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/>
      </w:pPr>
      <w:bookmarkStart w:colFirst="0" w:colLast="0" w:name="_p4qki8bm8i6z" w:id="11"/>
      <w:bookmarkEnd w:id="11"/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56">
      <w:pPr>
        <w:pageBreakBefore w:val="0"/>
        <w:rPr/>
      </w:pPr>
      <w:bookmarkStart w:colFirst="0" w:colLast="0" w:name="_gyfqjkxgg4yp" w:id="12"/>
      <w:bookmarkEnd w:id="12"/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57">
      <w:pPr>
        <w:pageBreakBefore w:val="0"/>
        <w:rPr>
          <w:rFonts w:ascii="Calibri" w:cs="Calibri" w:eastAsia="Calibri" w:hAnsi="Calibri"/>
          <w:b w:val="1"/>
          <w:color w:val="51a4ab"/>
          <w:sz w:val="28"/>
          <w:szCs w:val="28"/>
        </w:rPr>
      </w:pPr>
      <w:bookmarkStart w:colFirst="0" w:colLast="0" w:name="_tuvz6o9nfus9" w:id="13"/>
      <w:bookmarkEnd w:id="13"/>
      <w:r w:rsidDel="00000000" w:rsidR="00000000" w:rsidRPr="00000000">
        <w:rPr>
          <w:rFonts w:ascii="Calibri" w:cs="Calibri" w:eastAsia="Calibri" w:hAnsi="Calibri"/>
          <w:b w:val="1"/>
          <w:color w:val="51a4ab"/>
          <w:sz w:val="28"/>
          <w:szCs w:val="28"/>
          <w:rtl w:val="0"/>
        </w:rPr>
        <w:t xml:space="preserve">3. Tercer componente: Formulación de acciones del Plan Local</w:t>
      </w:r>
    </w:p>
    <w:p w:rsidR="00000000" w:rsidDel="00000000" w:rsidP="00000000" w:rsidRDefault="00000000" w:rsidRPr="00000000" w14:paraId="00000058">
      <w:pPr>
        <w:rPr/>
      </w:pPr>
      <w:bookmarkStart w:colFirst="0" w:colLast="0" w:name="_kk9egyese8io" w:id="14"/>
      <w:bookmarkEnd w:id="14"/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"/>
        <w:gridCol w:w="2592"/>
        <w:gridCol w:w="2592"/>
        <w:gridCol w:w="2592"/>
        <w:gridCol w:w="2592"/>
        <w:tblGridChange w:id="0">
          <w:tblGrid>
            <w:gridCol w:w="2592"/>
            <w:gridCol w:w="2592"/>
            <w:gridCol w:w="2592"/>
            <w:gridCol w:w="2592"/>
            <w:gridCol w:w="25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edd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Ámbito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edd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Objetivo estratégico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edd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Meta estratégica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edd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Estrategia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edd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Acción estratégica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Trabajo colaborativo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Retroalimentación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Innovación y articulación de prácticas docentes TP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/>
      </w:pPr>
      <w:bookmarkStart w:colFirst="0" w:colLast="0" w:name="_kebnxc527ctg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bookmarkStart w:colFirst="0" w:colLast="0" w:name="_9qqokkljtpwo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bookmarkStart w:colFirst="0" w:colLast="0" w:name="_glof8crbrc16" w:id="17"/>
      <w:bookmarkEnd w:id="17"/>
      <w:r w:rsidDel="00000000" w:rsidR="00000000" w:rsidRPr="00000000">
        <w:rPr>
          <w:rFonts w:ascii="Arial" w:cs="Arial" w:eastAsia="Arial" w:hAnsi="Arial"/>
          <w:b w:val="1"/>
          <w:color w:val="51a4ab"/>
          <w:sz w:val="40"/>
          <w:szCs w:val="40"/>
          <w:rtl w:val="0"/>
        </w:rPr>
        <w:t xml:space="preserve">Recursos complementarios</w:t>
      </w:r>
      <w:r w:rsidDel="00000000" w:rsidR="00000000" w:rsidRPr="00000000">
        <w:rPr>
          <w:rFonts w:ascii="Arial" w:cs="Arial" w:eastAsia="Arial" w:hAnsi="Arial"/>
          <w:b w:val="1"/>
          <w:color w:val="51a4ab"/>
          <w:sz w:val="40"/>
          <w:szCs w:val="4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color w:val="51a4ab"/>
          <w:sz w:val="40"/>
          <w:szCs w:val="4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bookmarkStart w:colFirst="0" w:colLast="0" w:name="_310awja9sab" w:id="18"/>
      <w:bookmarkEnd w:id="18"/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p708clpj4cvi" w:id="19"/>
      <w:bookmarkEnd w:id="19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Esta herramienta puede ser utilizada en complemento con los siguientes recursos:</w:t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gedagcswqiwz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g6r4v537qj3s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b w:val="1"/>
          <w:color w:val="51a4ab"/>
          <w:sz w:val="22"/>
          <w:szCs w:val="22"/>
        </w:rPr>
      </w:pPr>
      <w:bookmarkStart w:colFirst="0" w:colLast="0" w:name="_bfwammls2z7y" w:id="22"/>
      <w:bookmarkEnd w:id="22"/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51a4ab"/>
            <w:sz w:val="22"/>
            <w:szCs w:val="22"/>
            <w:rtl w:val="0"/>
          </w:rPr>
          <w:t xml:space="preserve">1. Herramientas para la gestión educativa.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b w:val="1"/>
          <w:color w:val="51a4ab"/>
          <w:sz w:val="22"/>
          <w:szCs w:val="22"/>
          <w:u w:val="single"/>
        </w:rPr>
      </w:pPr>
      <w:bookmarkStart w:colFirst="0" w:colLast="0" w:name="_wvq4ni86dxl" w:id="23"/>
      <w:bookmarkEnd w:id="23"/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51a4ab"/>
            <w:sz w:val="22"/>
            <w:szCs w:val="22"/>
            <w:u w:val="single"/>
            <w:rtl w:val="0"/>
          </w:rPr>
          <w:t xml:space="preserve">Plan Local de desarrollo Profesional Docente: Sugerencias para su elaboración, con foco en EMTP.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nxooblnww3k1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b w:val="1"/>
          <w:color w:val="51a4ab"/>
          <w:sz w:val="22"/>
          <w:szCs w:val="22"/>
        </w:rPr>
      </w:pPr>
      <w:bookmarkStart w:colFirst="0" w:colLast="0" w:name="_aeg7mz3nfg83" w:id="25"/>
      <w:bookmarkEnd w:id="25"/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51a4ab"/>
            <w:sz w:val="22"/>
            <w:szCs w:val="22"/>
            <w:rtl w:val="0"/>
          </w:rPr>
          <w:t xml:space="preserve">2. Herramientas para la gestión educativa.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b w:val="1"/>
          <w:color w:val="51a4ab"/>
          <w:sz w:val="22"/>
          <w:szCs w:val="22"/>
        </w:rPr>
      </w:pPr>
      <w:bookmarkStart w:colFirst="0" w:colLast="0" w:name="_wvq4ni86dxl" w:id="23"/>
      <w:bookmarkEnd w:id="23"/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51a4ab"/>
            <w:sz w:val="22"/>
            <w:szCs w:val="22"/>
            <w:u w:val="single"/>
            <w:rtl w:val="0"/>
          </w:rPr>
          <w:t xml:space="preserve">Plan Local de desarrollo Profesional Docente: Antecedentes para su profundización, con foco en EMTP.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color w:val="51a4ab"/>
        </w:rPr>
      </w:pPr>
      <w:bookmarkStart w:colFirst="0" w:colLast="0" w:name="_9r9psb1y61h" w:id="26"/>
      <w:bookmarkEnd w:id="26"/>
      <w:r w:rsidDel="00000000" w:rsidR="00000000" w:rsidRPr="00000000">
        <w:rPr>
          <w:color w:val="51a4ab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8E">
      <w:pPr>
        <w:rPr/>
      </w:pPr>
      <w:bookmarkStart w:colFirst="0" w:colLast="0" w:name="_1u9pufw6sh7h" w:id="27"/>
      <w:bookmarkEnd w:id="27"/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8F">
      <w:pPr>
        <w:rPr/>
      </w:pPr>
      <w:bookmarkStart w:colFirst="0" w:colLast="0" w:name="_mhh81nmuotsf" w:id="28"/>
      <w:bookmarkEnd w:id="28"/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90">
      <w:pPr>
        <w:rPr/>
      </w:pPr>
      <w:bookmarkStart w:colFirst="0" w:colLast="0" w:name="_aaj568yjpq9h" w:id="29"/>
      <w:bookmarkEnd w:id="29"/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91">
      <w:pPr>
        <w:rPr/>
      </w:pPr>
      <w:bookmarkStart w:colFirst="0" w:colLast="0" w:name="_jr9myp2l6og7" w:id="30"/>
      <w:bookmarkEnd w:id="30"/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2240" w:w="15840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-1142997</wp:posOffset>
          </wp:positionH>
          <wp:positionV relativeFrom="paragraph">
            <wp:posOffset>-57147</wp:posOffset>
          </wp:positionV>
          <wp:extent cx="3942761" cy="800100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42761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Disponibles en: https://www.ciled.cl/recursos/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-444499</wp:posOffset>
              </wp:positionV>
              <wp:extent cx="7572375" cy="9429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4100" y="3322800"/>
                        <a:ext cx="7543800" cy="914400"/>
                      </a:xfrm>
                      <a:prstGeom prst="rect">
                        <a:avLst/>
                      </a:prstGeom>
                      <a:solidFill>
                        <a:srgbClr val="F9DC4B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-444499</wp:posOffset>
              </wp:positionV>
              <wp:extent cx="7572375" cy="94297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2375" cy="942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6967219</wp:posOffset>
          </wp:positionH>
          <wp:positionV relativeFrom="paragraph">
            <wp:posOffset>-335277</wp:posOffset>
          </wp:positionV>
          <wp:extent cx="1948180" cy="800100"/>
          <wp:effectExtent b="0" l="0" r="0" t="0"/>
          <wp:wrapSquare wrapText="bothSides" distB="0" distT="0" distL="0" distR="0"/>
          <wp:docPr descr="Macintosh HD:Users:macbookproretina:Desktop:CILED:Plantillas:alt2:logo_1.png" id="3" name="image2.png"/>
          <a:graphic>
            <a:graphicData uri="http://schemas.openxmlformats.org/drawingml/2006/picture">
              <pic:pic>
                <pic:nvPicPr>
                  <pic:cNvPr descr="Macintosh HD:Users:macbookproretina:Desktop:CILED:Plantillas:alt2:logo_1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8180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eader" Target="header1.xml"/><Relationship Id="rId10" Type="http://schemas.openxmlformats.org/officeDocument/2006/relationships/hyperlink" Target="https://www.ciled.udd.cl/recursos_ciled/orientaciones-para-la-formulacion-del-pei-con-foco-tp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ciled.udd.cl/recursos_ciled/orientaciones-para-la-formulacion-del-pei-con-foco-tp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ciled.udd.cl/recursos_ciled/plan-local-de-desarrollo-profesional-docente-sugerencias-para-su-elaboracion-con-foco-en-emtp/" TargetMode="External"/><Relationship Id="rId8" Type="http://schemas.openxmlformats.org/officeDocument/2006/relationships/hyperlink" Target="https://www.ciled.udd.cl/recursos_ciled/plan-local-de-desarrollo-profesional-docente-sugerencias-para-su-elaboracion-con-foco-en-emtp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